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8382" w14:textId="77777777" w:rsidR="005E5A65" w:rsidRDefault="005E5A65" w:rsidP="00401D92">
      <w:pPr>
        <w:spacing w:after="0"/>
      </w:pPr>
      <w:r w:rsidRPr="005E5A65">
        <w:t>Pyotr Ilyich Tchaikovsky</w:t>
      </w:r>
    </w:p>
    <w:p w14:paraId="4B3D1863" w14:textId="116D1825" w:rsidR="005E5A65" w:rsidRDefault="005E5A65" w:rsidP="00401D92">
      <w:pPr>
        <w:spacing w:after="0"/>
      </w:pPr>
      <w:r>
        <w:t>1840 - 1893</w:t>
      </w:r>
    </w:p>
    <w:p w14:paraId="0E44CB11" w14:textId="0E7E95B6" w:rsidR="00401D92" w:rsidRDefault="004136CF" w:rsidP="00401D92">
      <w:pPr>
        <w:spacing w:after="0"/>
      </w:pPr>
      <w:r>
        <w:t>S</w:t>
      </w:r>
      <w:r w:rsidR="00401D92">
        <w:t>ymphony</w:t>
      </w:r>
      <w:r>
        <w:t xml:space="preserve"> No. 2 in C minor</w:t>
      </w:r>
    </w:p>
    <w:p w14:paraId="4C9767FF" w14:textId="65EA6B15" w:rsidR="004136CF" w:rsidRPr="004136CF" w:rsidRDefault="004136CF" w:rsidP="004136CF">
      <w:pPr>
        <w:spacing w:after="0"/>
        <w:rPr>
          <w:i/>
          <w:iCs/>
        </w:rPr>
      </w:pPr>
      <w:r w:rsidRPr="004136CF">
        <w:rPr>
          <w:i/>
          <w:iCs/>
        </w:rPr>
        <w:t>Andante sostenuto—Allegro vivo (C minor)</w:t>
      </w:r>
    </w:p>
    <w:p w14:paraId="56C288CA" w14:textId="6D1AFE16" w:rsidR="004136CF" w:rsidRPr="004136CF" w:rsidRDefault="004136CF" w:rsidP="004136CF">
      <w:pPr>
        <w:spacing w:after="0"/>
        <w:rPr>
          <w:i/>
          <w:iCs/>
        </w:rPr>
      </w:pPr>
      <w:r w:rsidRPr="004136CF">
        <w:rPr>
          <w:i/>
          <w:iCs/>
        </w:rPr>
        <w:t>Andantino marziale, quasi moderato (E</w:t>
      </w:r>
      <w:r w:rsidRPr="004136CF">
        <w:rPr>
          <w:rFonts w:ascii="Segoe UI Symbol" w:hAnsi="Segoe UI Symbol" w:cs="Segoe UI Symbol"/>
          <w:i/>
          <w:iCs/>
        </w:rPr>
        <w:t>♭</w:t>
      </w:r>
      <w:r w:rsidRPr="004136CF">
        <w:rPr>
          <w:i/>
          <w:iCs/>
        </w:rPr>
        <w:t xml:space="preserve"> major)</w:t>
      </w:r>
    </w:p>
    <w:p w14:paraId="00069071" w14:textId="72E48A05" w:rsidR="004136CF" w:rsidRPr="004136CF" w:rsidRDefault="004136CF" w:rsidP="004136CF">
      <w:pPr>
        <w:spacing w:after="0"/>
        <w:rPr>
          <w:i/>
          <w:iCs/>
        </w:rPr>
      </w:pPr>
      <w:r w:rsidRPr="004136CF">
        <w:rPr>
          <w:i/>
          <w:iCs/>
        </w:rPr>
        <w:t xml:space="preserve">Scherzo. Allegro molto vivace </w:t>
      </w:r>
    </w:p>
    <w:p w14:paraId="174BDCC6" w14:textId="3F927CB1" w:rsidR="00133F88" w:rsidRPr="004136CF" w:rsidRDefault="004136CF" w:rsidP="004136CF">
      <w:pPr>
        <w:spacing w:after="0"/>
        <w:rPr>
          <w:i/>
          <w:iCs/>
        </w:rPr>
      </w:pPr>
      <w:r w:rsidRPr="004136CF">
        <w:rPr>
          <w:i/>
          <w:iCs/>
        </w:rPr>
        <w:t>Finale. Moderato assai—Allegro vivo (C major)</w:t>
      </w:r>
    </w:p>
    <w:p w14:paraId="7AC15518" w14:textId="77777777" w:rsidR="004136CF" w:rsidRDefault="004136CF" w:rsidP="00133F88">
      <w:pPr>
        <w:spacing w:after="0"/>
      </w:pPr>
    </w:p>
    <w:p w14:paraId="546155AB" w14:textId="529C3FC5" w:rsidR="00133F88" w:rsidRDefault="00133F88" w:rsidP="00133F88">
      <w:pPr>
        <w:spacing w:after="0"/>
      </w:pPr>
      <w:r>
        <w:t>Tchaikovsky is the most popular Russian composer of all time because of his tuneful, impressive harmonies, and colourful</w:t>
      </w:r>
      <w:r w:rsidR="00257003">
        <w:t xml:space="preserve"> </w:t>
      </w:r>
      <w:r>
        <w:t xml:space="preserve">orchestration, which evoke a profound emotional response. He was born in a small industrial town about 450 miles East of Moscow. He was the </w:t>
      </w:r>
      <w:r w:rsidR="002F4ACC">
        <w:t xml:space="preserve">son </w:t>
      </w:r>
      <w:r>
        <w:t xml:space="preserve">of </w:t>
      </w:r>
      <w:r w:rsidR="002F4ACC">
        <w:t>the</w:t>
      </w:r>
      <w:r>
        <w:t xml:space="preserve"> manager of the local metal works, </w:t>
      </w:r>
      <w:r w:rsidR="002F4ACC">
        <w:t xml:space="preserve">his mother being a </w:t>
      </w:r>
      <w:r>
        <w:t xml:space="preserve">a descendant of French émigrés. He </w:t>
      </w:r>
      <w:r w:rsidR="002F4ACC">
        <w:t>had</w:t>
      </w:r>
      <w:r>
        <w:t xml:space="preserve"> a clear interest in music from childhood</w:t>
      </w:r>
      <w:r w:rsidR="002F4ACC">
        <w:t>, beginning</w:t>
      </w:r>
      <w:r w:rsidR="000C0124">
        <w:t xml:space="preserve"> </w:t>
      </w:r>
      <w:r w:rsidR="002F4ACC">
        <w:t xml:space="preserve">piano lessons at </w:t>
      </w:r>
      <w:r>
        <w:t xml:space="preserve"> the age of five with a local tutor. Because music education was not available in Russian institutions at that time, his parents chose to prepare the gentle, sensitive boy  for a career in the civil service</w:t>
      </w:r>
      <w:r w:rsidR="000C0124">
        <w:t xml:space="preserve"> and in </w:t>
      </w:r>
      <w:r>
        <w:t>1850, he entered the prestigious Imperial School of Jurisprudence in St. Petersburg, a boarding institution for young boys, where he spent nine years, proving a successful and popular student</w:t>
      </w:r>
      <w:r w:rsidR="002F4ACC">
        <w:t xml:space="preserve">, while continuing </w:t>
      </w:r>
      <w:r>
        <w:t>his piano lessons and other musical studies. In 1861 he visited Germany, France, and England, and when</w:t>
      </w:r>
      <w:r w:rsidR="00257003">
        <w:t xml:space="preserve"> the</w:t>
      </w:r>
      <w:r>
        <w:t xml:space="preserve"> St. Petersburg Conservatory opened Tchaikovsky was among its first students, resigning from the Ministry of Justice, where he had been employed as a clerk. After graduating in 1865, Tchaikovsky moved to Moscow to teach music theory at the Moscow Conservatory. Within five years he had produced his </w:t>
      </w:r>
      <w:r w:rsidRPr="00257003">
        <w:rPr>
          <w:i/>
          <w:iCs/>
        </w:rPr>
        <w:t>First Symphony (Winter Daydreams),</w:t>
      </w:r>
      <w:r>
        <w:t xml:space="preserve"> and his overture </w:t>
      </w:r>
      <w:r w:rsidRPr="00257003">
        <w:rPr>
          <w:i/>
          <w:iCs/>
        </w:rPr>
        <w:t>Romeo and Juliet</w:t>
      </w:r>
      <w:r>
        <w:t xml:space="preserve"> which became the first of his compositions to enter the standard international classical repertoire.</w:t>
      </w:r>
    </w:p>
    <w:p w14:paraId="352074BD" w14:textId="354E32DD" w:rsidR="00133F88" w:rsidRDefault="00133F88" w:rsidP="00133F88">
      <w:pPr>
        <w:spacing w:after="0"/>
      </w:pPr>
      <w:r>
        <w:t xml:space="preserve">         </w:t>
      </w:r>
      <w:r w:rsidR="000C0124">
        <w:t xml:space="preserve">Frpm about 1871 </w:t>
      </w:r>
      <w:r>
        <w:t>his instrumental works began to earn him his reputation</w:t>
      </w:r>
      <w:r w:rsidR="0098444E">
        <w:t xml:space="preserve">; in 1871 he wrote the first version of his </w:t>
      </w:r>
      <w:r w:rsidR="0098444E" w:rsidRPr="00257003">
        <w:rPr>
          <w:i/>
          <w:iCs/>
        </w:rPr>
        <w:t>2</w:t>
      </w:r>
      <w:r w:rsidR="0098444E" w:rsidRPr="00257003">
        <w:rPr>
          <w:i/>
          <w:iCs/>
          <w:vertAlign w:val="superscript"/>
        </w:rPr>
        <w:t>nd</w:t>
      </w:r>
      <w:r w:rsidR="0098444E" w:rsidRPr="00257003">
        <w:rPr>
          <w:i/>
          <w:iCs/>
        </w:rPr>
        <w:t xml:space="preserve"> Symphony</w:t>
      </w:r>
      <w:r>
        <w:t xml:space="preserve"> and in 1874, he wrote his </w:t>
      </w:r>
      <w:r w:rsidRPr="00257003">
        <w:rPr>
          <w:i/>
          <w:iCs/>
        </w:rPr>
        <w:t>First Piano Concerto</w:t>
      </w:r>
      <w:r>
        <w:t xml:space="preserve">, a work destined for fame. Soon after, Tchaikovsky left Russia to travel in Europe where he was greatly impressed by Bizet’s opera </w:t>
      </w:r>
      <w:r w:rsidRPr="00257003">
        <w:rPr>
          <w:i/>
          <w:iCs/>
        </w:rPr>
        <w:t>Carmen</w:t>
      </w:r>
      <w:r>
        <w:t xml:space="preserve"> but left cold by Richard Wagner’s </w:t>
      </w:r>
      <w:r w:rsidRPr="00257003">
        <w:rPr>
          <w:i/>
          <w:iCs/>
        </w:rPr>
        <w:t>Ring cycle</w:t>
      </w:r>
      <w:r w:rsidR="00B9649A">
        <w:t>.</w:t>
      </w:r>
      <w:r>
        <w:t xml:space="preserve"> In the next two years he produced his symphonic fantasia </w:t>
      </w:r>
      <w:r w:rsidRPr="00257003">
        <w:rPr>
          <w:i/>
          <w:iCs/>
        </w:rPr>
        <w:t>Francesca da Rimini</w:t>
      </w:r>
      <w:r>
        <w:t xml:space="preserve"> and the first of his famous ballets, </w:t>
      </w:r>
      <w:r w:rsidRPr="00257003">
        <w:rPr>
          <w:i/>
          <w:iCs/>
        </w:rPr>
        <w:t>Swan Lake</w:t>
      </w:r>
      <w:r>
        <w:t>.</w:t>
      </w:r>
    </w:p>
    <w:p w14:paraId="7123F50D" w14:textId="3391AD13" w:rsidR="00B9649A" w:rsidRDefault="00133F88" w:rsidP="00133F88">
      <w:pPr>
        <w:spacing w:after="0"/>
      </w:pPr>
      <w:r>
        <w:t xml:space="preserve">    </w:t>
      </w:r>
      <w:r w:rsidR="0098444E">
        <w:tab/>
      </w:r>
      <w:r>
        <w:t xml:space="preserve">The year 1876 saw the beginning of an extraordinary 14-year relationship between Tchaikovsky and Nadezhda von Meck, the widow of a wealthy railroad tycoon. Although they never met she became his patroness, </w:t>
      </w:r>
      <w:r w:rsidR="00B9649A">
        <w:t xml:space="preserve">enabling </w:t>
      </w:r>
      <w:r>
        <w:t>him to resign from the conservatory and devote himself to writing music. Thereafter he could afford to spend the winters in Europe and return to Russia each summer</w:t>
      </w:r>
      <w:r w:rsidR="0098444E">
        <w:t xml:space="preserve"> and between 1987 and 1893 he wrote his </w:t>
      </w:r>
      <w:r w:rsidR="0098444E" w:rsidRPr="0098444E">
        <w:t>last three numbered symphonies</w:t>
      </w:r>
      <w:r w:rsidR="0098444E">
        <w:t xml:space="preserve">, becoming </w:t>
      </w:r>
      <w:r w:rsidR="0098444E" w:rsidRPr="0098444E">
        <w:t xml:space="preserve"> one of the few composers in the late 19th century who could impose his personality upon the symphony to give the form new life</w:t>
      </w:r>
    </w:p>
    <w:p w14:paraId="162CF829" w14:textId="0FA3A290" w:rsidR="00133F88" w:rsidRDefault="0098444E" w:rsidP="00133F88">
      <w:pPr>
        <w:spacing w:after="0"/>
      </w:pPr>
      <w:r>
        <w:t xml:space="preserve">     </w:t>
      </w:r>
      <w:r w:rsidR="00133F88">
        <w:t>At the beginning of 1885, Tchaikovsky settled down in a rented country house near Klin, outside Moscow, and he finally overcame his longstanding fear of conducting. He embarked upon his first European concert tour as a conductor, which included Leipzig, Berlin, Prague, Hamburg, Paris, and London. It was a great success and he made a second tour in 1889</w:t>
      </w:r>
      <w:r w:rsidR="006E69C8">
        <w:t xml:space="preserve">. </w:t>
      </w:r>
      <w:r w:rsidR="00133F88">
        <w:t xml:space="preserve">In the next four years he composed his second ballet, </w:t>
      </w:r>
      <w:r w:rsidR="00133F88" w:rsidRPr="00257003">
        <w:rPr>
          <w:i/>
          <w:iCs/>
        </w:rPr>
        <w:t>The Sleeping Beauty</w:t>
      </w:r>
      <w:r w:rsidR="00133F88">
        <w:t xml:space="preserve">, his opera </w:t>
      </w:r>
      <w:r w:rsidR="00133F88" w:rsidRPr="00257003">
        <w:rPr>
          <w:i/>
          <w:iCs/>
        </w:rPr>
        <w:t>The Queen of Spades</w:t>
      </w:r>
      <w:r w:rsidR="00133F88">
        <w:t xml:space="preserve"> and his ballet </w:t>
      </w:r>
      <w:r w:rsidR="00133F88" w:rsidRPr="00257003">
        <w:rPr>
          <w:i/>
          <w:iCs/>
        </w:rPr>
        <w:t>Nutcracker</w:t>
      </w:r>
      <w:r w:rsidR="00133F88">
        <w:t>.</w:t>
      </w:r>
    </w:p>
    <w:p w14:paraId="271E8620" w14:textId="4F475A9B" w:rsidR="00133F88" w:rsidRDefault="00133F88" w:rsidP="00133F88">
      <w:pPr>
        <w:spacing w:after="0"/>
      </w:pPr>
      <w:r>
        <w:t xml:space="preserve">          In 1893 his world stature was confirmed by </w:t>
      </w:r>
      <w:r w:rsidR="006E69C8">
        <w:t xml:space="preserve">further </w:t>
      </w:r>
      <w:r>
        <w:t xml:space="preserve">triumphant European and American tours and by the award of an honorary doctorate from the University of Cambridge. In October </w:t>
      </w:r>
      <w:r>
        <w:lastRenderedPageBreak/>
        <w:t xml:space="preserve">of that year he conducted the premiere of his great </w:t>
      </w:r>
      <w:r w:rsidRPr="00257003">
        <w:rPr>
          <w:i/>
          <w:iCs/>
        </w:rPr>
        <w:t>Sixth Symphony (the Pathetique),</w:t>
      </w:r>
      <w:r>
        <w:t xml:space="preserve"> dying nine days later from cholera. </w:t>
      </w:r>
    </w:p>
    <w:p w14:paraId="445BAC87" w14:textId="232919CB" w:rsidR="00AE2FFB" w:rsidRPr="00667E13" w:rsidRDefault="00AE2FFB" w:rsidP="00AE2FFB">
      <w:pPr>
        <w:spacing w:after="0"/>
        <w:ind w:firstLine="720"/>
      </w:pPr>
      <w:r w:rsidRPr="00AE2FFB">
        <w:t xml:space="preserve">Tchaikovsky wrote his </w:t>
      </w:r>
      <w:r w:rsidRPr="00257003">
        <w:rPr>
          <w:i/>
          <w:iCs/>
        </w:rPr>
        <w:t>Second Symphony</w:t>
      </w:r>
      <w:r w:rsidRPr="00AE2FFB">
        <w:t xml:space="preserve"> in 1872 and it was a hit from its first performance. </w:t>
      </w:r>
      <w:r w:rsidR="006E69C8">
        <w:t>It</w:t>
      </w:r>
      <w:r w:rsidRPr="00AE2FFB">
        <w:t xml:space="preserve"> </w:t>
      </w:r>
      <w:r w:rsidR="006E69C8" w:rsidRPr="00D43E4C">
        <w:t>is among the more accessible of Tchaikovsky's works and exists in two versions.</w:t>
      </w:r>
      <w:r w:rsidR="006E69C8">
        <w:t xml:space="preserve"> </w:t>
      </w:r>
      <w:r w:rsidRPr="00AE2FFB">
        <w:t xml:space="preserve">Despite its initial success, </w:t>
      </w:r>
      <w:r>
        <w:t>he</w:t>
      </w:r>
      <w:r w:rsidRPr="00AE2FFB">
        <w:t xml:space="preserve"> was not satisfied with the symphony</w:t>
      </w:r>
      <w:r>
        <w:t xml:space="preserve"> and a</w:t>
      </w:r>
      <w:r w:rsidRPr="00AE2FFB">
        <w:t xml:space="preserve">fter writing his </w:t>
      </w:r>
      <w:r w:rsidRPr="00257003">
        <w:rPr>
          <w:i/>
          <w:iCs/>
        </w:rPr>
        <w:t>4th symphony</w:t>
      </w:r>
      <w:r w:rsidRPr="00AE2FFB">
        <w:t xml:space="preserve"> he revised the work extensively</w:t>
      </w:r>
      <w:r>
        <w:t xml:space="preserve"> and t</w:t>
      </w:r>
      <w:r w:rsidRPr="00AE2FFB">
        <w:t>his is the version of the symphony performed today</w:t>
      </w:r>
      <w:r w:rsidR="00257003">
        <w:t xml:space="preserve">. </w:t>
      </w:r>
      <w:r w:rsidRPr="00AE2FFB">
        <w:t xml:space="preserve">He used three Ukrainian folk songs in the </w:t>
      </w:r>
      <w:r w:rsidRPr="00257003">
        <w:rPr>
          <w:i/>
          <w:iCs/>
        </w:rPr>
        <w:t>Second Symphony</w:t>
      </w:r>
      <w:r w:rsidRPr="00AE2FFB">
        <w:t xml:space="preserve"> and because of that it was nicknamed the "Little Russian". It is neither “little” nor is it Russian. For centuries Russians often referred to the Ukraine as Little Russia; it has long rankled the Ukrainians and sadly the animosity continues.</w:t>
      </w:r>
      <w:r>
        <w:t xml:space="preserve"> </w:t>
      </w:r>
    </w:p>
    <w:p w14:paraId="5544B839" w14:textId="7ACF3A10" w:rsidR="00CA14E1" w:rsidRPr="00CA14E1" w:rsidRDefault="00CA14E1" w:rsidP="00455CE0">
      <w:pPr>
        <w:spacing w:after="0"/>
        <w:ind w:firstLine="720"/>
      </w:pPr>
      <w:r w:rsidRPr="00CA14E1">
        <w:t>The symphony is scored for piccolo, two flutes, two oboes, two clarinets, two bassoons, four horns, two trumpets, three trombones, tuba, timpani, cymbals, bass drum, tamtam and strings.</w:t>
      </w:r>
    </w:p>
    <w:p w14:paraId="369B268F" w14:textId="529C5398" w:rsidR="00664AE2" w:rsidRDefault="008B3181" w:rsidP="00455CE0">
      <w:pPr>
        <w:spacing w:after="0"/>
        <w:ind w:firstLine="720"/>
      </w:pPr>
      <w:r w:rsidRPr="008B3181">
        <w:t>The first movement</w:t>
      </w:r>
      <w:r w:rsidR="00455CE0">
        <w:t xml:space="preserve"> is</w:t>
      </w:r>
      <w:r w:rsidRPr="008B3181">
        <w:t xml:space="preserve"> </w:t>
      </w:r>
      <w:r w:rsidRPr="008B3181">
        <w:rPr>
          <w:i/>
          <w:iCs/>
        </w:rPr>
        <w:t>Andante sostenuto—Allegro vivo</w:t>
      </w:r>
      <w:r w:rsidR="00455CE0">
        <w:rPr>
          <w:i/>
          <w:iCs/>
        </w:rPr>
        <w:t xml:space="preserve">. </w:t>
      </w:r>
      <w:r w:rsidR="00455CE0" w:rsidRPr="00455CE0">
        <w:t xml:space="preserve">Its </w:t>
      </w:r>
      <w:r w:rsidR="0023740C">
        <w:t xml:space="preserve"> slow introduction starts with a horn solo, a melancholy Ukrainian folk song. It is taken up by various parts of the orchestra, gradually gaining in intensity</w:t>
      </w:r>
      <w:r w:rsidR="00FE15B5">
        <w:t xml:space="preserve">. </w:t>
      </w:r>
      <w:r w:rsidR="00257003">
        <w:t xml:space="preserve">The horns </w:t>
      </w:r>
      <w:r w:rsidR="00FE15B5">
        <w:t xml:space="preserve">return to the horns to </w:t>
      </w:r>
      <w:r w:rsidR="00257003">
        <w:t>lead into</w:t>
      </w:r>
      <w:r w:rsidR="00FE15B5">
        <w:t xml:space="preserve"> the </w:t>
      </w:r>
      <w:r w:rsidR="00FE15B5" w:rsidRPr="00455CE0">
        <w:rPr>
          <w:i/>
          <w:iCs/>
        </w:rPr>
        <w:t>Allegro</w:t>
      </w:r>
      <w:r w:rsidR="00FE15B5">
        <w:t xml:space="preserve"> continuation of th</w:t>
      </w:r>
      <w:r w:rsidR="00257003">
        <w:t>is</w:t>
      </w:r>
      <w:r w:rsidR="00FE15B5">
        <w:t xml:space="preserve"> movement</w:t>
      </w:r>
      <w:r w:rsidR="00257003">
        <w:t>; it</w:t>
      </w:r>
      <w:r w:rsidR="00FE15B5">
        <w:t xml:space="preserve"> starts with a simple woodwind theme which soon becomes more aggressive as it is taken over by more of the orchestra.</w:t>
      </w:r>
      <w:r w:rsidR="00664AE2">
        <w:t xml:space="preserve"> A more gentle tune competes to calm everything down but the two themes share the movement until it ends with the horn ending softly, as at the beginning.</w:t>
      </w:r>
    </w:p>
    <w:p w14:paraId="5EC9147C" w14:textId="6401E263" w:rsidR="008B3181" w:rsidRPr="008B3181" w:rsidRDefault="008B3181" w:rsidP="00455CE0">
      <w:pPr>
        <w:spacing w:after="0"/>
        <w:ind w:firstLine="720"/>
      </w:pPr>
      <w:r w:rsidRPr="008B3181">
        <w:t xml:space="preserve">The second movement </w:t>
      </w:r>
      <w:r w:rsidR="00455CE0">
        <w:t>is</w:t>
      </w:r>
      <w:r w:rsidRPr="008B3181">
        <w:t xml:space="preserve"> </w:t>
      </w:r>
      <w:r w:rsidRPr="008B3181">
        <w:rPr>
          <w:i/>
          <w:iCs/>
        </w:rPr>
        <w:t>Andantino marziale, quasi moderato</w:t>
      </w:r>
      <w:r w:rsidR="00455CE0">
        <w:rPr>
          <w:i/>
          <w:iCs/>
        </w:rPr>
        <w:t xml:space="preserve">. </w:t>
      </w:r>
      <w:r>
        <w:t xml:space="preserve">This unusual short movement is not  a typical Tchaikovsky slow movement but is a little leftover bridal march from an unpublished opera, </w:t>
      </w:r>
      <w:r w:rsidR="000D24A8">
        <w:t xml:space="preserve">which diverts occasionally into another Ukrainian folk song. </w:t>
      </w:r>
    </w:p>
    <w:p w14:paraId="2251341D" w14:textId="607BF5D7" w:rsidR="0001426E" w:rsidRDefault="00664AE2" w:rsidP="001B5A3B">
      <w:pPr>
        <w:spacing w:after="0"/>
      </w:pPr>
      <w:r>
        <w:t xml:space="preserve"> </w:t>
      </w:r>
      <w:r w:rsidR="00FE15B5">
        <w:t xml:space="preserve"> </w:t>
      </w:r>
      <w:r w:rsidR="00455CE0">
        <w:tab/>
      </w:r>
      <w:r w:rsidR="000D24A8" w:rsidRPr="00455CE0">
        <w:t>The third movement</w:t>
      </w:r>
      <w:r w:rsidR="000D24A8" w:rsidRPr="000D24A8">
        <w:t xml:space="preserve"> </w:t>
      </w:r>
      <w:r w:rsidR="000D24A8" w:rsidRPr="000D24A8">
        <w:rPr>
          <w:i/>
          <w:iCs/>
        </w:rPr>
        <w:t>Scherzo</w:t>
      </w:r>
      <w:r w:rsidR="00F12ADF">
        <w:rPr>
          <w:i/>
          <w:iCs/>
        </w:rPr>
        <w:t xml:space="preserve"> is</w:t>
      </w:r>
      <w:r w:rsidR="000D24A8" w:rsidRPr="000D24A8">
        <w:rPr>
          <w:i/>
          <w:iCs/>
        </w:rPr>
        <w:t xml:space="preserve"> Allegro molto vivace</w:t>
      </w:r>
      <w:r w:rsidR="00455CE0">
        <w:rPr>
          <w:i/>
          <w:iCs/>
        </w:rPr>
        <w:t>.</w:t>
      </w:r>
      <w:r w:rsidR="00455CE0">
        <w:t xml:space="preserve"> </w:t>
      </w:r>
      <w:r w:rsidR="0001426E">
        <w:t>As a scherzo should, this movement scampers along with a ‘Midsummer Night’s Dream” atmosphere, its rapid three in a bar music interrupted  by a frenetic section in 2/4.</w:t>
      </w:r>
    </w:p>
    <w:p w14:paraId="021BE786" w14:textId="702E7605" w:rsidR="00BF540A" w:rsidRDefault="0001426E" w:rsidP="00455CE0">
      <w:pPr>
        <w:ind w:firstLine="720"/>
      </w:pPr>
      <w:r w:rsidRPr="0001426E">
        <w:t>The last movements</w:t>
      </w:r>
      <w:r w:rsidR="00455CE0">
        <w:rPr>
          <w:b/>
          <w:bCs/>
        </w:rPr>
        <w:t xml:space="preserve"> </w:t>
      </w:r>
      <w:r w:rsidR="00455CE0" w:rsidRPr="00455CE0">
        <w:t>is</w:t>
      </w:r>
      <w:r w:rsidRPr="0001426E">
        <w:t xml:space="preserve"> </w:t>
      </w:r>
      <w:r w:rsidRPr="0001426E">
        <w:rPr>
          <w:i/>
          <w:iCs/>
        </w:rPr>
        <w:t>Finale</w:t>
      </w:r>
      <w:r w:rsidR="00F12ADF">
        <w:rPr>
          <w:i/>
          <w:iCs/>
        </w:rPr>
        <w:t>,</w:t>
      </w:r>
      <w:r w:rsidRPr="0001426E">
        <w:rPr>
          <w:i/>
          <w:iCs/>
        </w:rPr>
        <w:t xml:space="preserve"> Moderato assai—Allegro vivo</w:t>
      </w:r>
      <w:r w:rsidR="00455CE0" w:rsidRPr="00455CE0">
        <w:t>.</w:t>
      </w:r>
      <w:r w:rsidRPr="0001426E">
        <w:t xml:space="preserve"> </w:t>
      </w:r>
      <w:r w:rsidR="00455CE0" w:rsidRPr="00455CE0">
        <w:t>It</w:t>
      </w:r>
      <w:r w:rsidR="00455CE0">
        <w:t xml:space="preserve"> </w:t>
      </w:r>
      <w:r w:rsidR="00366AFF">
        <w:t xml:space="preserve">is introduced by a brief fanfare leading to a short brass section reminiscent of </w:t>
      </w:r>
      <w:r w:rsidR="00DD1A52">
        <w:t xml:space="preserve">the “Promenade” or </w:t>
      </w:r>
      <w:r w:rsidR="00F12ADF">
        <w:t>“</w:t>
      </w:r>
      <w:r w:rsidR="00DD1A52">
        <w:t xml:space="preserve">The Great Gate of Kiev” in </w:t>
      </w:r>
      <w:r w:rsidR="00366AFF">
        <w:t>Mussor</w:t>
      </w:r>
      <w:r w:rsidR="00DD1A52">
        <w:t>g</w:t>
      </w:r>
      <w:r w:rsidR="00366AFF">
        <w:t xml:space="preserve">sky’s </w:t>
      </w:r>
      <w:r w:rsidR="00366AFF" w:rsidRPr="00DD1A52">
        <w:rPr>
          <w:i/>
          <w:iCs/>
        </w:rPr>
        <w:t>Pictures at an Exhibition</w:t>
      </w:r>
      <w:r w:rsidR="00366AFF">
        <w:t xml:space="preserve">. </w:t>
      </w:r>
      <w:r w:rsidRPr="0001426E">
        <w:t xml:space="preserve">The </w:t>
      </w:r>
      <w:r w:rsidR="00CA14E1">
        <w:t xml:space="preserve">following </w:t>
      </w:r>
      <w:r w:rsidRPr="0001426E">
        <w:t>exhilarating finale incorporates a song called The Crane</w:t>
      </w:r>
      <w:r w:rsidR="00CA14E1" w:rsidRPr="00CA14E1">
        <w:t xml:space="preserve"> </w:t>
      </w:r>
      <w:r w:rsidR="00CA14E1" w:rsidRPr="0001426E">
        <w:t>that his butler used to sing to him when he was a child</w:t>
      </w:r>
      <w:r w:rsidR="00CA14E1">
        <w:t xml:space="preserve">, </w:t>
      </w:r>
      <w:r w:rsidRPr="0001426E">
        <w:t xml:space="preserve"> subjecting it to a increasingly intricate and colorful variations for orchestra. A more </w:t>
      </w:r>
      <w:r w:rsidR="00CA14E1">
        <w:t xml:space="preserve">graceful </w:t>
      </w:r>
      <w:r w:rsidRPr="0001426E">
        <w:t>lyrical theme from the strings provides contrast</w:t>
      </w:r>
      <w:r w:rsidR="00280290">
        <w:t>,</w:t>
      </w:r>
      <w:r w:rsidR="00CA14E1">
        <w:t xml:space="preserve"> </w:t>
      </w:r>
      <w:r w:rsidR="00280290">
        <w:t xml:space="preserve">both themes then being used during the development section. </w:t>
      </w:r>
      <w:r w:rsidRPr="0001426E">
        <w:t>After the recapitulation</w:t>
      </w:r>
      <w:r w:rsidR="00455CE0">
        <w:t xml:space="preserve"> there is</w:t>
      </w:r>
      <w:r w:rsidRPr="0001426E">
        <w:t xml:space="preserve"> </w:t>
      </w:r>
      <w:r w:rsidR="00280290">
        <w:t>a pause, then a violent crash followed by a breathtaking rush to the end.</w:t>
      </w:r>
    </w:p>
    <w:p w14:paraId="47137897" w14:textId="77777777" w:rsidR="00E703A1" w:rsidRPr="00E703A1" w:rsidRDefault="00E703A1" w:rsidP="00133F88">
      <w:pPr>
        <w:spacing w:after="0"/>
      </w:pPr>
    </w:p>
    <w:sectPr w:rsidR="00E703A1" w:rsidRPr="00E703A1" w:rsidSect="004136CF">
      <w:pgSz w:w="11906" w:h="16838"/>
      <w:pgMar w:top="567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17DBA"/>
    <w:multiLevelType w:val="multilevel"/>
    <w:tmpl w:val="4C3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02B90"/>
    <w:multiLevelType w:val="multilevel"/>
    <w:tmpl w:val="ECF6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834807">
    <w:abstractNumId w:val="0"/>
  </w:num>
  <w:num w:numId="2" w16cid:durableId="71894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2"/>
    <w:rsid w:val="0001426E"/>
    <w:rsid w:val="00071951"/>
    <w:rsid w:val="000B263E"/>
    <w:rsid w:val="000B6140"/>
    <w:rsid w:val="000C0124"/>
    <w:rsid w:val="000D24A8"/>
    <w:rsid w:val="00133F88"/>
    <w:rsid w:val="001B5A3B"/>
    <w:rsid w:val="001E09CD"/>
    <w:rsid w:val="0021252E"/>
    <w:rsid w:val="002333A7"/>
    <w:rsid w:val="0023740C"/>
    <w:rsid w:val="00257003"/>
    <w:rsid w:val="00280290"/>
    <w:rsid w:val="002F4ACC"/>
    <w:rsid w:val="00366AFF"/>
    <w:rsid w:val="003A6B22"/>
    <w:rsid w:val="003F0951"/>
    <w:rsid w:val="00401D92"/>
    <w:rsid w:val="004136CF"/>
    <w:rsid w:val="00455CE0"/>
    <w:rsid w:val="004A5309"/>
    <w:rsid w:val="00537B08"/>
    <w:rsid w:val="005E5A65"/>
    <w:rsid w:val="00634BBE"/>
    <w:rsid w:val="00664AE2"/>
    <w:rsid w:val="00667E13"/>
    <w:rsid w:val="006C365B"/>
    <w:rsid w:val="006E69C8"/>
    <w:rsid w:val="007C0FF7"/>
    <w:rsid w:val="008B3181"/>
    <w:rsid w:val="009466D1"/>
    <w:rsid w:val="0098444E"/>
    <w:rsid w:val="00990018"/>
    <w:rsid w:val="009D2B03"/>
    <w:rsid w:val="009F53F0"/>
    <w:rsid w:val="00A921BC"/>
    <w:rsid w:val="00AD32AD"/>
    <w:rsid w:val="00AE2FFB"/>
    <w:rsid w:val="00B16C86"/>
    <w:rsid w:val="00B36C3A"/>
    <w:rsid w:val="00B9649A"/>
    <w:rsid w:val="00BF540A"/>
    <w:rsid w:val="00C5434A"/>
    <w:rsid w:val="00CA14E1"/>
    <w:rsid w:val="00CD14C0"/>
    <w:rsid w:val="00D43E4C"/>
    <w:rsid w:val="00DD1A52"/>
    <w:rsid w:val="00E703A1"/>
    <w:rsid w:val="00E967B5"/>
    <w:rsid w:val="00EF3CBC"/>
    <w:rsid w:val="00F12AD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E3C2"/>
  <w15:chartTrackingRefBased/>
  <w15:docId w15:val="{B0ED0B9A-3377-40B7-8999-D24A282A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D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3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Anthony</dc:creator>
  <cp:keywords/>
  <dc:description/>
  <cp:lastModifiedBy>Christopher Anthony</cp:lastModifiedBy>
  <cp:revision>34</cp:revision>
  <dcterms:created xsi:type="dcterms:W3CDTF">2025-02-19T17:09:00Z</dcterms:created>
  <dcterms:modified xsi:type="dcterms:W3CDTF">2025-07-24T13:37:00Z</dcterms:modified>
</cp:coreProperties>
</file>